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60" w:after="40"/>
        <w:rPr>
          <w:rFonts w:ascii="Aptos Display" w:hAnsi="Aptos Display"/>
          <w:b/>
          <w:b/>
          <w:color w:val="21455F"/>
          <w:sz w:val="50"/>
        </w:rPr>
      </w:pPr>
      <w:r>
        <w:rPr/>
      </w:r>
    </w:p>
    <w:p>
      <w:pPr>
        <w:pStyle w:val="Normal"/>
        <w:spacing w:before="160" w:after="40"/>
        <w:rPr/>
      </w:pPr>
      <w:r>
        <w:rPr>
          <w:rFonts w:ascii="Aptos Display" w:hAnsi="Aptos Display"/>
          <w:b/>
          <w:color w:val="21455F"/>
          <w:sz w:val="50"/>
        </w:rPr>
        <w:t>WENIGER ZUCKER</w:t>
      </w:r>
    </w:p>
    <w:p>
      <w:pPr>
        <w:pStyle w:val="Normal"/>
        <w:spacing w:before="60" w:after="380"/>
        <w:rPr>
          <w:rFonts w:ascii="Aptos Display" w:hAnsi="Aptos Display"/>
          <w:b w:val="false"/>
          <w:b w:val="false"/>
          <w:color w:val="557B94"/>
          <w:sz w:val="27"/>
        </w:rPr>
      </w:pPr>
      <w:r>
        <w:rPr/>
      </w:r>
    </w:p>
    <w:p>
      <w:pPr>
        <w:pStyle w:val="Normal"/>
        <w:spacing w:before="60" w:after="380"/>
        <w:rPr/>
      </w:pPr>
      <w:r>
        <w:rPr>
          <w:rFonts w:ascii="Aptos Display" w:hAnsi="Aptos Display"/>
          <w:b w:val="false"/>
          <w:color w:val="557B94"/>
          <w:sz w:val="27"/>
        </w:rPr>
        <w:t>Mit einfachen Mitteln - ohne strenge Verbote</w:t>
      </w:r>
    </w:p>
    <w:p>
      <w:pPr>
        <w:pStyle w:val="Normal"/>
        <w:pBdr>
          <w:left w:val="single" w:sz="22" w:space="8" w:color="21455F"/>
        </w:pBdr>
        <w:shd w:fill="DCEAF2"/>
        <w:spacing w:before="0" w:after="300"/>
        <w:ind w:left="170" w:right="85" w:hanging="0"/>
        <w:rPr/>
      </w:pPr>
      <w:r>
        <w:rPr>
          <w:b/>
          <w:color w:val="21455F"/>
          <w:sz w:val="21"/>
        </w:rPr>
        <w:t xml:space="preserve">Der wirksamste Ansatz ist nicht mehr Willenskraft, sondern ein leichterer Alltag: </w:t>
      </w:r>
      <w:r>
        <w:rPr>
          <w:b w:val="false"/>
          <w:color w:val="26343D"/>
          <w:sz w:val="21"/>
        </w:rPr>
        <w:t>günstige Alternativen bereithalten, Mahlzeiten sättigend zusammenstellen und die Süße schrittweise reduzieren.</w:t>
      </w:r>
    </w:p>
    <w:p>
      <w:pPr>
        <w:pStyle w:val="Berschrift1"/>
        <w:rPr/>
      </w:pPr>
      <w:r>
        <w:rPr/>
      </w:r>
    </w:p>
    <w:p>
      <w:pPr>
        <w:pStyle w:val="Berschrift1"/>
        <w:rPr/>
      </w:pPr>
      <w:r>
        <w:rPr/>
        <w:t>Warum kommt nach Süßem manchmal schnell wieder Hunger?</w:t>
      </w:r>
    </w:p>
    <w:tbl>
      <w:tblPr>
        <w:tblW w:w="10034" w:type="dxa"/>
        <w:jc w:val="center"/>
        <w:tblInd w:w="0" w:type="dxa"/>
        <w:tblLayout w:type="fixed"/>
        <w:tblCellMar>
          <w:top w:w="220" w:type="dxa"/>
          <w:left w:w="120" w:type="dxa"/>
          <w:bottom w:w="220" w:type="dxa"/>
          <w:right w:w="120" w:type="dxa"/>
        </w:tblCellMar>
        <w:tblLook w:firstRow="1" w:noVBand="1" w:lastRow="0" w:firstColumn="1" w:lastColumn="0" w:noHBand="0" w:val="04a0"/>
      </w:tblPr>
      <w:tblGrid>
        <w:gridCol w:w="3344"/>
        <w:gridCol w:w="3345"/>
        <w:gridCol w:w="3345"/>
      </w:tblGrid>
      <w:tr>
        <w:trPr/>
        <w:tc>
          <w:tcPr>
            <w:tcW w:w="3344" w:type="dxa"/>
            <w:tcBorders/>
            <w:shd w:fill="21455F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b/>
                <w:color w:val="7FA9C4"/>
                <w:sz w:val="30"/>
              </w:rPr>
              <w:t>1</w:t>
              <w:br/>
            </w:r>
            <w:r>
              <w:rPr>
                <w:b/>
                <w:color w:val="FFFFFF"/>
                <w:sz w:val="19"/>
              </w:rPr>
              <w:t>Schnelle Kohlenhydrate</w:t>
              <w:br/>
            </w:r>
            <w:r>
              <w:rPr>
                <w:b w:val="false"/>
                <w:color w:val="FFFFFF"/>
                <w:sz w:val="17"/>
              </w:rPr>
              <w:t>Süßigkeiten und Weißmehl werden rasch verdaut.</w:t>
            </w:r>
          </w:p>
        </w:tc>
        <w:tc>
          <w:tcPr>
            <w:tcW w:w="3345" w:type="dxa"/>
            <w:tcBorders/>
            <w:shd w:fill="557B94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b/>
                <w:color w:val="7FA9C4"/>
                <w:sz w:val="30"/>
              </w:rPr>
              <w:t>2</w:t>
              <w:br/>
            </w:r>
            <w:r>
              <w:rPr>
                <w:b/>
                <w:color w:val="FFFFFF"/>
                <w:sz w:val="19"/>
              </w:rPr>
              <w:t>Blutzucker &amp; Insulin</w:t>
              <w:br/>
            </w:r>
            <w:r>
              <w:rPr>
                <w:b w:val="false"/>
                <w:color w:val="FFFFFF"/>
                <w:sz w:val="17"/>
              </w:rPr>
              <w:t>Der Blutzucker steigt; Insulin wird ausgeschüttet.</w:t>
            </w:r>
          </w:p>
        </w:tc>
        <w:tc>
          <w:tcPr>
            <w:tcW w:w="3345" w:type="dxa"/>
            <w:tcBorders/>
            <w:shd w:fill="21455F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b/>
                <w:color w:val="7FA9C4"/>
                <w:sz w:val="30"/>
              </w:rPr>
              <w:t>3</w:t>
              <w:br/>
            </w:r>
            <w:r>
              <w:rPr>
                <w:b/>
                <w:color w:val="FFFFFF"/>
                <w:sz w:val="19"/>
              </w:rPr>
              <w:t>Hunger kann zurückkehren</w:t>
              <w:br/>
            </w:r>
            <w:r>
              <w:rPr>
                <w:b w:val="false"/>
                <w:color w:val="FFFFFF"/>
                <w:sz w:val="17"/>
              </w:rPr>
              <w:t>Bei wenig Eiweiß und Ballaststoffen hält die Sättigung oft kürzer an.</w:t>
            </w:r>
          </w:p>
        </w:tc>
      </w:tr>
    </w:tbl>
    <w:p>
      <w:pPr>
        <w:pStyle w:val="Normal"/>
        <w:spacing w:before="200" w:after="140"/>
        <w:rPr/>
      </w:pPr>
      <w:r>
        <w:rPr>
          <w:b w:val="false"/>
          <w:color w:val="26343D"/>
          <w:sz w:val="19"/>
        </w:rPr>
        <w:t>Der Effekt ist individuell und nicht nach jeder zuckerreichen Mahlzeit gleich. Studien zeigen bei subjektivem Hunger kein vollständig einheitliches Bild.</w:t>
      </w:r>
    </w:p>
    <w:p>
      <w:pPr>
        <w:pStyle w:val="Berschrift1"/>
        <w:rPr/>
      </w:pPr>
      <w:r>
        <w:rPr/>
      </w:r>
    </w:p>
    <w:p>
      <w:pPr>
        <w:pStyle w:val="Berschrift1"/>
        <w:rPr/>
      </w:pPr>
      <w:r>
        <w:rPr/>
        <w:t>Sechs einfache Hebel</w:t>
      </w:r>
    </w:p>
    <w:tbl>
      <w:tblPr>
        <w:tblW w:w="10034" w:type="dxa"/>
        <w:jc w:val="center"/>
        <w:tblInd w:w="0" w:type="dxa"/>
        <w:tblLayout w:type="fixed"/>
        <w:tblCellMar>
          <w:top w:w="185" w:type="dxa"/>
          <w:left w:w="150" w:type="dxa"/>
          <w:bottom w:w="185" w:type="dxa"/>
          <w:right w:w="150" w:type="dxa"/>
        </w:tblCellMar>
        <w:tblLook w:firstRow="1" w:noVBand="1" w:lastRow="0" w:firstColumn="1" w:lastColumn="0" w:noHBand="0" w:val="04a0"/>
      </w:tblPr>
      <w:tblGrid>
        <w:gridCol w:w="5017"/>
        <w:gridCol w:w="5016"/>
      </w:tblGrid>
      <w:tr>
        <w:trPr/>
        <w:tc>
          <w:tcPr>
            <w:tcW w:w="5017" w:type="dxa"/>
            <w:tcBorders>
              <w:top w:val="single" w:sz="4" w:space="0" w:color="CCDCE6"/>
              <w:left w:val="single" w:sz="4" w:space="0" w:color="CCDCE6"/>
              <w:bottom w:val="single" w:sz="4" w:space="0" w:color="CCDCE6"/>
              <w:right w:val="single" w:sz="4" w:space="0" w:color="CCDCE6"/>
            </w:tcBorders>
            <w:shd w:fill="F4F8FB"/>
          </w:tcPr>
          <w:p>
            <w:pPr>
              <w:pStyle w:val="Normal"/>
              <w:widowControl w:val="false"/>
              <w:spacing w:before="0" w:after="20"/>
              <w:rPr/>
            </w:pPr>
            <w:r>
              <w:rPr>
                <w:b/>
                <w:color w:val="21455F"/>
                <w:sz w:val="19"/>
              </w:rPr>
              <w:t>1  Getränke tauschen</w:t>
              <w:br/>
            </w:r>
            <w:r>
              <w:rPr>
                <w:b w:val="false"/>
                <w:color w:val="26343D"/>
                <w:sz w:val="18"/>
              </w:rPr>
              <w:t>Wasser, Mineralwasser oder ungesüßten Tee griffbereit halten. Flüssiger Zucker sättigt nur wenig.</w:t>
            </w:r>
          </w:p>
        </w:tc>
        <w:tc>
          <w:tcPr>
            <w:tcW w:w="5016" w:type="dxa"/>
            <w:tcBorders>
              <w:top w:val="single" w:sz="4" w:space="0" w:color="CCDCE6"/>
              <w:left w:val="single" w:sz="4" w:space="0" w:color="CCDCE6"/>
              <w:bottom w:val="single" w:sz="4" w:space="0" w:color="CCDCE6"/>
              <w:right w:val="single" w:sz="4" w:space="0" w:color="CCDCE6"/>
            </w:tcBorders>
            <w:shd w:fill="EAF2F7"/>
          </w:tcPr>
          <w:p>
            <w:pPr>
              <w:pStyle w:val="Normal"/>
              <w:widowControl w:val="false"/>
              <w:spacing w:before="0" w:after="20"/>
              <w:rPr/>
            </w:pPr>
            <w:r>
              <w:rPr>
                <w:b/>
                <w:color w:val="21455F"/>
                <w:sz w:val="19"/>
              </w:rPr>
              <w:t>2  Frühstück sättigender machen</w:t>
              <w:br/>
            </w:r>
            <w:r>
              <w:rPr>
                <w:b w:val="false"/>
                <w:color w:val="26343D"/>
                <w:sz w:val="18"/>
              </w:rPr>
              <w:t>Haferflocken oder Vollkornbrot mit Eiweiß kombinieren, z. B. Naturjoghurt, Quark, Ei, Käse oder Nüsse.</w:t>
            </w:r>
          </w:p>
        </w:tc>
      </w:tr>
      <w:tr>
        <w:trPr/>
        <w:tc>
          <w:tcPr>
            <w:tcW w:w="5017" w:type="dxa"/>
            <w:tcBorders>
              <w:top w:val="single" w:sz="4" w:space="0" w:color="CCDCE6"/>
              <w:left w:val="single" w:sz="4" w:space="0" w:color="CCDCE6"/>
              <w:bottom w:val="single" w:sz="4" w:space="0" w:color="CCDCE6"/>
              <w:right w:val="single" w:sz="4" w:space="0" w:color="CCDCE6"/>
            </w:tcBorders>
            <w:shd w:fill="EAF2F7"/>
          </w:tcPr>
          <w:p>
            <w:pPr>
              <w:pStyle w:val="Normal"/>
              <w:widowControl w:val="false"/>
              <w:spacing w:before="0" w:after="20"/>
              <w:rPr/>
            </w:pPr>
            <w:r>
              <w:rPr>
                <w:b/>
                <w:color w:val="21455F"/>
                <w:sz w:val="19"/>
              </w:rPr>
              <w:t>3  Vollkorn statt Weißmehl</w:t>
              <w:br/>
            </w:r>
            <w:r>
              <w:rPr>
                <w:b w:val="false"/>
                <w:color w:val="26343D"/>
                <w:sz w:val="18"/>
              </w:rPr>
              <w:t>Schrittweise Brot, Nudeln und Reis austauschen. Ballaststoffe verlängern die Sättigung.</w:t>
            </w:r>
          </w:p>
        </w:tc>
        <w:tc>
          <w:tcPr>
            <w:tcW w:w="5016" w:type="dxa"/>
            <w:tcBorders>
              <w:top w:val="single" w:sz="4" w:space="0" w:color="CCDCE6"/>
              <w:left w:val="single" w:sz="4" w:space="0" w:color="CCDCE6"/>
              <w:bottom w:val="single" w:sz="4" w:space="0" w:color="CCDCE6"/>
              <w:right w:val="single" w:sz="4" w:space="0" w:color="CCDCE6"/>
            </w:tcBorders>
            <w:shd w:fill="F4F8FB"/>
          </w:tcPr>
          <w:p>
            <w:pPr>
              <w:pStyle w:val="Normal"/>
              <w:widowControl w:val="false"/>
              <w:spacing w:before="0" w:after="20"/>
              <w:rPr/>
            </w:pPr>
            <w:r>
              <w:rPr>
                <w:b/>
                <w:color w:val="21455F"/>
                <w:sz w:val="19"/>
              </w:rPr>
              <w:t>4  Kohlenhydrate nicht allein beginnen</w:t>
              <w:br/>
            </w:r>
            <w:r>
              <w:rPr>
                <w:b w:val="false"/>
                <w:color w:val="26343D"/>
                <w:sz w:val="18"/>
              </w:rPr>
              <w:t>Bei einer Mahlzeit zuerst Gemüse oder Eiweiß essen, danach Brot, Reis, Nudeln oder Süßes. Das kann Blutzuckerspitzen abmildern.</w:t>
            </w:r>
          </w:p>
        </w:tc>
      </w:tr>
      <w:tr>
        <w:trPr/>
        <w:tc>
          <w:tcPr>
            <w:tcW w:w="5017" w:type="dxa"/>
            <w:tcBorders>
              <w:top w:val="single" w:sz="4" w:space="0" w:color="CCDCE6"/>
              <w:left w:val="single" w:sz="4" w:space="0" w:color="CCDCE6"/>
              <w:bottom w:val="single" w:sz="4" w:space="0" w:color="CCDCE6"/>
              <w:right w:val="single" w:sz="4" w:space="0" w:color="CCDCE6"/>
            </w:tcBorders>
            <w:shd w:fill="F4F8FB"/>
          </w:tcPr>
          <w:p>
            <w:pPr>
              <w:pStyle w:val="Normal"/>
              <w:widowControl w:val="false"/>
              <w:spacing w:before="0" w:after="20"/>
              <w:rPr/>
            </w:pPr>
            <w:r>
              <w:rPr>
                <w:b/>
                <w:color w:val="21455F"/>
                <w:sz w:val="19"/>
              </w:rPr>
              <w:t>5  Die Umgebung verändern</w:t>
              <w:br/>
            </w:r>
            <w:r>
              <w:rPr>
                <w:b w:val="false"/>
                <w:color w:val="26343D"/>
                <w:sz w:val="18"/>
              </w:rPr>
              <w:t>Süßigkeiten nicht sichtbar lagern, kleine Portionen bereitstellen und nicht direkt aus der Packung essen.</w:t>
            </w:r>
          </w:p>
        </w:tc>
        <w:tc>
          <w:tcPr>
            <w:tcW w:w="5016" w:type="dxa"/>
            <w:tcBorders>
              <w:top w:val="single" w:sz="4" w:space="0" w:color="CCDCE6"/>
              <w:left w:val="single" w:sz="4" w:space="0" w:color="CCDCE6"/>
              <w:bottom w:val="single" w:sz="4" w:space="0" w:color="CCDCE6"/>
              <w:right w:val="single" w:sz="4" w:space="0" w:color="CCDCE6"/>
            </w:tcBorders>
            <w:shd w:fill="EAF2F7"/>
          </w:tcPr>
          <w:p>
            <w:pPr>
              <w:pStyle w:val="Normal"/>
              <w:widowControl w:val="false"/>
              <w:spacing w:before="0" w:after="20"/>
              <w:rPr/>
            </w:pPr>
            <w:r>
              <w:rPr>
                <w:b/>
                <w:color w:val="21455F"/>
                <w:sz w:val="19"/>
              </w:rPr>
              <w:t>6  Weniger süß trainieren</w:t>
              <w:br/>
            </w:r>
            <w:r>
              <w:rPr>
                <w:b w:val="false"/>
                <w:color w:val="26343D"/>
                <w:sz w:val="18"/>
              </w:rPr>
              <w:t>Zucker in Kaffee, Müsli oder Rezepten schrittweise reduzieren. Der Geschmack kann sich an weniger Süße gewöhnen.</w:t>
            </w:r>
          </w:p>
        </w:tc>
      </w:tr>
    </w:tbl>
    <w:p>
      <w:pPr>
        <w:pStyle w:val="Berschrift1"/>
        <w:rPr/>
      </w:pPr>
      <w:r>
        <w:rPr/>
        <w:t>Ein kleiner 7-Tage-Versuch</w:t>
      </w:r>
    </w:p>
    <w:p>
      <w:pPr>
        <w:pStyle w:val="Normal"/>
        <w:pBdr>
          <w:left w:val="single" w:sz="22" w:space="8" w:color="7FA9C4"/>
        </w:pBdr>
        <w:shd w:fill="EAF3F8"/>
        <w:spacing w:before="0" w:after="160"/>
        <w:ind w:left="170" w:right="85" w:hanging="0"/>
        <w:rPr/>
      </w:pPr>
      <w:r>
        <w:rPr>
          <w:b/>
          <w:color w:val="26343D"/>
          <w:sz w:val="19"/>
        </w:rPr>
        <w:t xml:space="preserve">Wählen Sie nur eine Veränderung: </w:t>
      </w:r>
      <w:r>
        <w:rPr>
          <w:b w:val="false"/>
          <w:color w:val="26343D"/>
          <w:sz w:val="19"/>
        </w:rPr>
        <w:t>zum Beispiel morgens Vollkorn plus Eiweiß statt süßem Gebäck. Notieren Sie vor dem Essen und zwei bis drei Stunden später Hunger oder Heißhunger von 0 bis 10. Behalten Sie bei, was für Sie funktioniert.</w:t>
      </w:r>
    </w:p>
    <w:p>
      <w:pPr>
        <w:pStyle w:val="Normal"/>
        <w:spacing w:before="120" w:after="0"/>
        <w:rPr/>
      </w:pPr>
      <w:r>
        <w:rPr>
          <w:b/>
          <w:color w:val="21455F"/>
          <w:sz w:val="18"/>
        </w:rPr>
        <w:t xml:space="preserve">Wichtig: </w:t>
      </w:r>
      <w:r>
        <w:rPr>
          <w:b w:val="false"/>
          <w:color w:val="26343D"/>
          <w:sz w:val="18"/>
        </w:rPr>
        <w:t>Bei Diabetes oder blutzuckersenkenden Medikamenten größere Ernährungsänderungen mit der behandelnden Praxis abstimmen.</w:t>
      </w:r>
    </w:p>
    <w:sectPr>
      <w:headerReference w:type="default" r:id="rId2"/>
      <w:footerReference w:type="default" r:id="rId3"/>
      <w:type w:val="nextPage"/>
      <w:pgSz w:w="11906" w:h="16838"/>
      <w:pgMar w:left="822" w:right="822" w:gutter="0" w:header="255" w:top="680" w:footer="272" w:bottom="65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Aptos">
    <w:charset w:val="00"/>
    <w:family w:val="roman"/>
    <w:pitch w:val="variable"/>
  </w:font>
  <w:font w:name="Calibri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ptos Display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uzeile"/>
      <w:jc w:val="left"/>
      <w:rPr/>
    </w:pPr>
    <w:r>
      <w:rPr>
        <w:b w:val="false"/>
        <w:color w:val="60737F"/>
        <w:sz w:val="13"/>
      </w:rPr>
      <w:t>Quellen: DGE - Empfehlungen und Vollkorn; WHO - zuckergesüßte Getränke; BZfE - weniger Zucker; systematic review zu Mahlzeitenreihenfolge (J Nutr Sci 2022).  |  Allgemeine Information - ersetzt keine individuelle Beratung.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Kopfzeile"/>
      <w:jc w:val="right"/>
      <w:rPr/>
    </w:pPr>
    <w:r>
      <w:rPr>
        <w:b/>
        <w:color w:val="557B94"/>
        <w:sz w:val="17"/>
      </w:rPr>
      <w:t>PATIENTENINFORMATION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59" w:before="0" w:after="60"/>
      <w:jc w:val="left"/>
    </w:pPr>
    <w:rPr>
      <w:rFonts w:ascii="Aptos" w:hAnsi="Aptos" w:eastAsia="ＭＳ 明朝" w:cs=""/>
      <w:color w:val="26343D"/>
      <w:kern w:val="0"/>
      <w:sz w:val="20"/>
      <w:szCs w:val="22"/>
      <w:lang w:val="en-US" w:eastAsia="en-US" w:bidi="ar-SA"/>
    </w:rPr>
  </w:style>
  <w:style w:type="paragraph" w:styleId="Berschrift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380" w:after="14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21455F"/>
      <w:sz w:val="28"/>
      <w:szCs w:val="28"/>
    </w:rPr>
  </w:style>
  <w:style w:type="paragraph" w:styleId="Berschrift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160" w:after="8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21455F"/>
      <w:sz w:val="22"/>
      <w:szCs w:val="26"/>
    </w:rPr>
  </w:style>
  <w:style w:type="paragraph" w:styleId="Berschrift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paragraph" w:styleId="Berschrift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Berschrift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paragraph" w:styleId="Berschrift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Berschrift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Berschrift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Berschrift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Betont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krper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Aufzhlung">
    <w:name w:val="List"/>
    <w:basedOn w:val="Normal"/>
    <w:uiPriority w:val="99"/>
    <w:unhideWhenUsed/>
    <w:rsid w:val="00aa1d8d"/>
    <w:pPr>
      <w:spacing w:before="0" w:after="60"/>
      <w:ind w:left="360" w:hanging="360"/>
      <w:contextualSpacing/>
    </w:pPr>
    <w:rPr/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Arial"/>
    </w:rPr>
  </w:style>
  <w:style w:type="paragraph" w:styleId="KopfundFuzeile">
    <w:name w:val="Kopf- und Fußzeile"/>
    <w:basedOn w:val="Normal"/>
    <w:qFormat/>
    <w:pPr/>
    <w:rPr/>
  </w:style>
  <w:style w:type="paragraph" w:styleId="Kopfzeile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uzeile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el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Untertitel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60"/>
      <w:ind w:left="720" w:hanging="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Aufzhlung2">
    <w:name w:val="List Bullet 3"/>
    <w:basedOn w:val="Normal"/>
    <w:uiPriority w:val="99"/>
    <w:unhideWhenUsed/>
    <w:rsid w:val="00326f90"/>
    <w:pPr>
      <w:spacing w:before="0" w:after="60"/>
      <w:ind w:left="720" w:hanging="360"/>
      <w:contextualSpacing/>
    </w:pPr>
    <w:rPr/>
  </w:style>
  <w:style w:type="paragraph" w:styleId="Aufzhlung3">
    <w:name w:val="List Bullet 4"/>
    <w:basedOn w:val="Normal"/>
    <w:uiPriority w:val="99"/>
    <w:unhideWhenUsed/>
    <w:rsid w:val="00326f90"/>
    <w:pPr>
      <w:spacing w:before="0" w:after="60"/>
      <w:ind w:left="1080" w:hanging="360"/>
      <w:contextualSpacing/>
    </w:pPr>
    <w:rPr/>
  </w:style>
  <w:style w:type="paragraph" w:styleId="ListBullet">
    <w:name w:val="List Bullet"/>
    <w:basedOn w:val="Normal"/>
    <w:uiPriority w:val="99"/>
    <w:unhideWhenUsed/>
    <w:qFormat/>
    <w:rsid w:val="00326f90"/>
    <w:pPr>
      <w:numPr>
        <w:ilvl w:val="0"/>
        <w:numId w:val="1"/>
      </w:numPr>
      <w:spacing w:before="0" w:after="60"/>
      <w:contextualSpacing/>
    </w:pPr>
    <w:rPr/>
  </w:style>
  <w:style w:type="paragraph" w:styleId="ListBullet2">
    <w:name w:val="List Bullet 2"/>
    <w:basedOn w:val="Normal"/>
    <w:uiPriority w:val="99"/>
    <w:unhideWhenUsed/>
    <w:qFormat/>
    <w:rsid w:val="00326f90"/>
    <w:pPr>
      <w:numPr>
        <w:ilvl w:val="0"/>
        <w:numId w:val="2"/>
      </w:numPr>
      <w:spacing w:before="0" w:after="60"/>
      <w:contextualSpacing/>
    </w:pPr>
    <w:rPr/>
  </w:style>
  <w:style w:type="paragraph" w:styleId="ListBullet3">
    <w:name w:val="List Bullet 3"/>
    <w:basedOn w:val="Normal"/>
    <w:uiPriority w:val="99"/>
    <w:unhideWhenUsed/>
    <w:qFormat/>
    <w:rsid w:val="00326f90"/>
    <w:pPr>
      <w:numPr>
        <w:ilvl w:val="0"/>
        <w:numId w:val="3"/>
      </w:numPr>
      <w:spacing w:before="0" w:after="60"/>
      <w:contextualSpacing/>
    </w:pPr>
    <w:rPr/>
  </w:style>
  <w:style w:type="paragraph" w:styleId="ListNumber">
    <w:name w:val="List Number"/>
    <w:basedOn w:val="Normal"/>
    <w:uiPriority w:val="99"/>
    <w:unhideWhenUsed/>
    <w:qFormat/>
    <w:rsid w:val="00326f90"/>
    <w:pPr>
      <w:numPr>
        <w:ilvl w:val="0"/>
        <w:numId w:val="4"/>
      </w:numPr>
      <w:spacing w:before="0" w:after="60"/>
      <w:contextualSpacing/>
    </w:pPr>
    <w:rPr/>
  </w:style>
  <w:style w:type="paragraph" w:styleId="ListNumber2">
    <w:name w:val="List Number 2"/>
    <w:basedOn w:val="Normal"/>
    <w:uiPriority w:val="99"/>
    <w:unhideWhenUsed/>
    <w:qFormat/>
    <w:rsid w:val="0029639d"/>
    <w:pPr>
      <w:numPr>
        <w:ilvl w:val="0"/>
        <w:numId w:val="5"/>
      </w:numPr>
      <w:spacing w:before="0" w:after="60"/>
      <w:contextualSpacing/>
    </w:pPr>
    <w:rPr/>
  </w:style>
  <w:style w:type="paragraph" w:styleId="ListNumber3">
    <w:name w:val="List Number 3"/>
    <w:basedOn w:val="Normal"/>
    <w:uiPriority w:val="99"/>
    <w:unhideWhenUsed/>
    <w:qFormat/>
    <w:rsid w:val="0029639d"/>
    <w:pPr>
      <w:numPr>
        <w:ilvl w:val="0"/>
        <w:numId w:val="6"/>
      </w:numPr>
      <w:spacing w:before="0" w:after="60"/>
      <w:contextualSpacing/>
    </w:pPr>
    <w:rPr/>
  </w:style>
  <w:style w:type="paragraph" w:styleId="ListContinue">
    <w:name w:val="List Continue"/>
    <w:basedOn w:val="Normal"/>
    <w:uiPriority w:val="99"/>
    <w:unhideWhenUsed/>
    <w:qFormat/>
    <w:rsid w:val="0029639d"/>
    <w:pPr>
      <w:spacing w:before="0" w:after="120"/>
      <w:ind w:left="360" w:hanging="0"/>
      <w:contextualSpacing/>
    </w:pPr>
    <w:rPr/>
  </w:style>
  <w:style w:type="paragraph" w:styleId="ListContinue2">
    <w:name w:val="List Continue 2"/>
    <w:basedOn w:val="Normal"/>
    <w:uiPriority w:val="99"/>
    <w:unhideWhenUsed/>
    <w:qFormat/>
    <w:rsid w:val="0029639d"/>
    <w:pPr>
      <w:spacing w:before="0" w:after="120"/>
      <w:ind w:left="720" w:hanging="0"/>
      <w:contextualSpacing/>
    </w:pPr>
    <w:rPr/>
  </w:style>
  <w:style w:type="paragraph" w:styleId="ListContinue3">
    <w:name w:val="List Continue 3"/>
    <w:basedOn w:val="Normal"/>
    <w:uiPriority w:val="99"/>
    <w:unhideWhenUsed/>
    <w:qFormat/>
    <w:rsid w:val="0029639d"/>
    <w:pPr>
      <w:spacing w:before="0" w:after="120"/>
      <w:ind w:left="1080" w:hanging="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Stichwortverzeichnisberschrift">
    <w:name w:val="Index Heading"/>
    <w:basedOn w:val="Berschrift"/>
    <w:pPr/>
    <w:rPr/>
  </w:style>
  <w:style w:type="paragraph" w:styleId="Inhaltsverzeichnisberschrift">
    <w:name w:val="TOC Heading"/>
    <w:basedOn w:val="Berschrift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LibreOffice/7.4.3.2$Windows_X86_64 LibreOffice_project/1048a8393ae2eeec98dff31b5c133c5f1d08b890</Application>
  <AppVersion>15.0000</AppVersion>
  <Pages>1</Pages>
  <Words>290</Words>
  <Characters>1870</Characters>
  <CharactersWithSpaces>2148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/>
  <dc:description>generated by python-docx</dc:description>
  <dc:language>de-DE</dc:language>
  <cp:lastModifiedBy/>
  <dcterms:modified xsi:type="dcterms:W3CDTF">2026-08-25T11:45:31Z</dcterms:modified>
  <cp:revision>2</cp:revision>
  <dc:subject>Patienteninformation</dc:subject>
  <dc:title>Weniger Zucker - mit einfachen Mitteln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